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A7" w:rsidRPr="002F70A7" w:rsidRDefault="002F70A7" w:rsidP="002F70A7">
      <w:pPr>
        <w:spacing w:line="240" w:lineRule="auto"/>
        <w:rPr>
          <w:b/>
          <w:sz w:val="20"/>
          <w:szCs w:val="20"/>
          <w:lang w:val="kk-KZ"/>
        </w:rPr>
      </w:pPr>
      <w:r w:rsidRPr="002F70A7">
        <w:rPr>
          <w:b/>
          <w:sz w:val="20"/>
          <w:szCs w:val="20"/>
          <w:lang w:val="kk-KZ"/>
        </w:rPr>
        <w:t>900203402084</w:t>
      </w:r>
    </w:p>
    <w:p w:rsidR="002F70A7" w:rsidRPr="002F70A7" w:rsidRDefault="002F70A7" w:rsidP="002F70A7">
      <w:pPr>
        <w:spacing w:line="240" w:lineRule="auto"/>
        <w:rPr>
          <w:b/>
          <w:sz w:val="20"/>
          <w:szCs w:val="20"/>
          <w:lang w:val="kk-KZ"/>
        </w:rPr>
      </w:pPr>
    </w:p>
    <w:p w:rsidR="002F70A7" w:rsidRPr="002F70A7" w:rsidRDefault="002F70A7" w:rsidP="002F70A7">
      <w:pPr>
        <w:spacing w:line="240" w:lineRule="auto"/>
        <w:rPr>
          <w:b/>
          <w:sz w:val="20"/>
          <w:szCs w:val="20"/>
          <w:lang w:val="kk-KZ"/>
        </w:rPr>
      </w:pPr>
      <w:r w:rsidRPr="002F70A7">
        <w:rPr>
          <w:b/>
          <w:sz w:val="20"/>
          <w:szCs w:val="20"/>
          <w:lang w:val="kk-KZ"/>
        </w:rPr>
        <w:t xml:space="preserve">КУРГУЗОВА </w:t>
      </w:r>
      <w:r w:rsidRPr="002F70A7">
        <w:rPr>
          <w:b/>
          <w:sz w:val="20"/>
          <w:szCs w:val="20"/>
          <w:lang w:val="kk-KZ"/>
        </w:rPr>
        <w:t>Валентина Евгеньевна,</w:t>
      </w:r>
    </w:p>
    <w:p w:rsidR="002F70A7" w:rsidRPr="002F70A7" w:rsidRDefault="002F70A7" w:rsidP="002F70A7">
      <w:pPr>
        <w:spacing w:line="240" w:lineRule="auto"/>
        <w:rPr>
          <w:b/>
          <w:sz w:val="20"/>
          <w:szCs w:val="20"/>
          <w:lang w:val="kk-KZ"/>
        </w:rPr>
      </w:pPr>
      <w:r w:rsidRPr="002F70A7">
        <w:rPr>
          <w:b/>
          <w:sz w:val="20"/>
          <w:szCs w:val="20"/>
          <w:lang w:val="kk-KZ"/>
        </w:rPr>
        <w:t xml:space="preserve">№5 мектеп-гимназиясының </w:t>
      </w:r>
      <w:r w:rsidRPr="002F70A7">
        <w:rPr>
          <w:b/>
          <w:sz w:val="20"/>
          <w:szCs w:val="20"/>
          <w:lang w:val="kk-KZ"/>
        </w:rPr>
        <w:t>тарих</w:t>
      </w:r>
      <w:r w:rsidRPr="002F70A7">
        <w:rPr>
          <w:b/>
          <w:sz w:val="20"/>
          <w:szCs w:val="20"/>
          <w:lang w:val="kk-KZ"/>
        </w:rPr>
        <w:t xml:space="preserve"> пәні мұғалімі.</w:t>
      </w:r>
    </w:p>
    <w:p w:rsidR="002F70A7" w:rsidRPr="002F70A7" w:rsidRDefault="002F70A7" w:rsidP="002F70A7">
      <w:pPr>
        <w:pStyle w:val="1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  <w:r w:rsidRPr="002F70A7">
        <w:rPr>
          <w:rFonts w:ascii="Times New Roman" w:hAnsi="Times New Roman" w:cs="Times New Roman"/>
          <w:color w:val="auto"/>
          <w:sz w:val="20"/>
          <w:szCs w:val="20"/>
          <w:lang w:val="kk-KZ"/>
        </w:rPr>
        <w:t>Түркістан облысы, Ленгер қаласы</w:t>
      </w:r>
    </w:p>
    <w:p w:rsidR="00154D78" w:rsidRPr="002F70A7" w:rsidRDefault="00154D78" w:rsidP="002F70A7">
      <w:pPr>
        <w:spacing w:line="240" w:lineRule="auto"/>
        <w:rPr>
          <w:b/>
          <w:sz w:val="20"/>
          <w:szCs w:val="20"/>
          <w:lang w:val="kk-KZ"/>
        </w:rPr>
      </w:pPr>
    </w:p>
    <w:p w:rsidR="008C715E" w:rsidRPr="002F70A7" w:rsidRDefault="002F70A7" w:rsidP="002F70A7">
      <w:pPr>
        <w:spacing w:line="240" w:lineRule="auto"/>
        <w:jc w:val="center"/>
        <w:rPr>
          <w:b/>
          <w:sz w:val="20"/>
          <w:szCs w:val="20"/>
          <w:lang w:val="kk-KZ"/>
        </w:rPr>
      </w:pPr>
      <w:r w:rsidRPr="002F70A7">
        <w:rPr>
          <w:b/>
          <w:sz w:val="20"/>
          <w:szCs w:val="20"/>
        </w:rPr>
        <w:t>ИССЛЕДОВАТЕЛЬСКАЯ ДЕЯТЕЛЬНОСТЬ УЧАЩИХСЯ НА УРОКАХ ИСТОРИИ</w:t>
      </w:r>
    </w:p>
    <w:p w:rsidR="008C715E" w:rsidRPr="002F70A7" w:rsidRDefault="008C715E" w:rsidP="002F70A7">
      <w:pPr>
        <w:tabs>
          <w:tab w:val="left" w:pos="7210"/>
        </w:tabs>
        <w:spacing w:line="240" w:lineRule="auto"/>
        <w:rPr>
          <w:sz w:val="20"/>
          <w:szCs w:val="20"/>
          <w:lang w:val="kk-KZ"/>
        </w:rPr>
      </w:pPr>
    </w:p>
    <w:p w:rsidR="002F70A7" w:rsidRPr="002F70A7" w:rsidRDefault="008C715E" w:rsidP="002F70A7">
      <w:pPr>
        <w:tabs>
          <w:tab w:val="left" w:pos="7210"/>
        </w:tabs>
        <w:spacing w:line="240" w:lineRule="auto"/>
        <w:ind w:firstLine="567"/>
        <w:rPr>
          <w:sz w:val="20"/>
          <w:szCs w:val="20"/>
          <w:lang w:val="kk-KZ"/>
        </w:rPr>
      </w:pPr>
      <w:r w:rsidRPr="002F70A7">
        <w:rPr>
          <w:noProof/>
          <w:sz w:val="20"/>
          <w:szCs w:val="20"/>
          <w:lang w:eastAsia="ru-RU"/>
        </w:rPr>
        <w:drawing>
          <wp:inline distT="0" distB="0" distL="0" distR="0" wp14:anchorId="5EF625B6" wp14:editId="2411A663">
            <wp:extent cx="3077845" cy="205232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0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715E" w:rsidRPr="002F70A7" w:rsidRDefault="008C715E" w:rsidP="002F70A7">
      <w:pPr>
        <w:tabs>
          <w:tab w:val="left" w:pos="7210"/>
        </w:tabs>
        <w:spacing w:line="240" w:lineRule="auto"/>
        <w:ind w:firstLine="567"/>
        <w:rPr>
          <w:sz w:val="20"/>
          <w:szCs w:val="20"/>
        </w:rPr>
      </w:pPr>
      <w:r w:rsidRPr="002F70A7">
        <w:rPr>
          <w:sz w:val="20"/>
          <w:szCs w:val="20"/>
        </w:rPr>
        <w:t>Сущность моих педагогических изысканий заключается в создании определённой</w:t>
      </w:r>
      <w:bookmarkStart w:id="0" w:name="_GoBack"/>
      <w:r w:rsidR="002F70A7">
        <w:rPr>
          <w:sz w:val="20"/>
          <w:szCs w:val="20"/>
        </w:rPr>
        <w:t xml:space="preserve"> </w:t>
      </w:r>
      <w:bookmarkEnd w:id="0"/>
      <w:r w:rsidRPr="002F70A7">
        <w:rPr>
          <w:sz w:val="20"/>
          <w:szCs w:val="20"/>
        </w:rPr>
        <w:t>системы работы по развитию способностей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учащихся путем организации последовательной преемственной исследовательской деятельности на уроке и во внеурочное время, создании условий для полноценного формирования исследовательских умений и навыков.</w:t>
      </w:r>
    </w:p>
    <w:p w:rsidR="008C715E" w:rsidRPr="002F70A7" w:rsidRDefault="008C715E" w:rsidP="002F70A7">
      <w:pPr>
        <w:spacing w:line="240" w:lineRule="auto"/>
        <w:ind w:firstLine="567"/>
        <w:rPr>
          <w:sz w:val="20"/>
          <w:szCs w:val="20"/>
        </w:rPr>
      </w:pPr>
      <w:r w:rsidRPr="002F70A7">
        <w:rPr>
          <w:sz w:val="20"/>
          <w:szCs w:val="20"/>
        </w:rPr>
        <w:t>Сама идея создания этой системы возникла в процессе подготовки учащихся к краеведческим олимпиадам, викторинам и конкурсам в старших курсах, однако, работая со старшекурсниками, очень скоро пришла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к осознанию необходимости системной работы по развитию способностей учащихся через организацию исследовательской деятельности с более раннего возраста.</w:t>
      </w:r>
    </w:p>
    <w:p w:rsidR="008C715E" w:rsidRPr="002F70A7" w:rsidRDefault="008C715E" w:rsidP="002F70A7">
      <w:pPr>
        <w:spacing w:line="240" w:lineRule="auto"/>
        <w:ind w:firstLine="567"/>
        <w:rPr>
          <w:sz w:val="20"/>
          <w:szCs w:val="20"/>
        </w:rPr>
      </w:pPr>
      <w:r w:rsidRPr="002F70A7">
        <w:rPr>
          <w:sz w:val="20"/>
          <w:szCs w:val="20"/>
        </w:rPr>
        <w:t>С этой целью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веду работу по формированию исследовательских умений и навыков. А создание исследовательской атмосферы урока позволяет развивать творческие способности личности, способствует развитию, проявлению и отслеживанию как промежуточного, так и конечного результата в процессе обучения.</w:t>
      </w:r>
    </w:p>
    <w:p w:rsidR="008C715E" w:rsidRPr="002F70A7" w:rsidRDefault="008C715E" w:rsidP="002F70A7">
      <w:pPr>
        <w:spacing w:line="240" w:lineRule="auto"/>
        <w:ind w:firstLine="567"/>
        <w:rPr>
          <w:sz w:val="20"/>
          <w:szCs w:val="20"/>
        </w:rPr>
      </w:pPr>
      <w:r w:rsidRPr="002F70A7">
        <w:rPr>
          <w:sz w:val="20"/>
          <w:szCs w:val="20"/>
        </w:rPr>
        <w:t>Учащиеся получают возможность самореализации через исследовательскую деятельность, приобретают знания об особенностях работы с историческими источниками, о структуре творческой, реферативной и исследовательской работы, умение анализировать различную информацию и создавать собственную работу, включая постановку целей и задач, их реализацию, редактирование, рецензирование и защиту.</w:t>
      </w:r>
    </w:p>
    <w:p w:rsidR="008C715E" w:rsidRPr="002F70A7" w:rsidRDefault="008C715E" w:rsidP="002F70A7">
      <w:pPr>
        <w:spacing w:line="240" w:lineRule="auto"/>
        <w:ind w:firstLine="567"/>
        <w:rPr>
          <w:sz w:val="20"/>
          <w:szCs w:val="20"/>
          <w:lang w:val="kk-KZ"/>
        </w:rPr>
      </w:pPr>
      <w:r w:rsidRPr="002F70A7">
        <w:rPr>
          <w:sz w:val="20"/>
          <w:szCs w:val="20"/>
        </w:rPr>
        <w:t>Закономерным итогом подобной работы становится приобретение и развитие новых знаний, умений, навыков, а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также формирование опыта творческой деятельности и эмоционально – ценностного отношения к происходившим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в мире (стране, крае, городе) историческим событиям.</w:t>
      </w:r>
    </w:p>
    <w:p w:rsidR="008C715E" w:rsidRPr="002F70A7" w:rsidRDefault="008C715E" w:rsidP="002F70A7">
      <w:pPr>
        <w:spacing w:line="240" w:lineRule="auto"/>
        <w:ind w:firstLine="567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Учебно-исследовательская деятельность меняет цели и задачи, стоящие перед современным образованием. Акцент переносится с усвоения знаний</w:t>
      </w:r>
      <w:r w:rsidR="002F70A7">
        <w:rPr>
          <w:bCs/>
          <w:sz w:val="20"/>
          <w:szCs w:val="20"/>
        </w:rPr>
        <w:t xml:space="preserve"> </w:t>
      </w:r>
      <w:r w:rsidRPr="002F70A7">
        <w:rPr>
          <w:bCs/>
          <w:sz w:val="20"/>
          <w:szCs w:val="20"/>
        </w:rPr>
        <w:t>на формирование компетентности (личностно-ориентированный подход).</w:t>
      </w:r>
    </w:p>
    <w:p w:rsidR="008C715E" w:rsidRPr="002F70A7" w:rsidRDefault="008C715E" w:rsidP="002F70A7">
      <w:pPr>
        <w:spacing w:line="240" w:lineRule="auto"/>
        <w:ind w:firstLine="567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В основе исследовательской деятельности лежит развитие у учащихся:</w:t>
      </w:r>
    </w:p>
    <w:p w:rsidR="008C715E" w:rsidRPr="002F70A7" w:rsidRDefault="008C715E" w:rsidP="002F70A7">
      <w:pPr>
        <w:numPr>
          <w:ilvl w:val="0"/>
          <w:numId w:val="3"/>
        </w:numPr>
        <w:tabs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познавательных навыков;</w:t>
      </w:r>
    </w:p>
    <w:p w:rsidR="008C715E" w:rsidRPr="002F70A7" w:rsidRDefault="008C715E" w:rsidP="002F70A7">
      <w:pPr>
        <w:numPr>
          <w:ilvl w:val="0"/>
          <w:numId w:val="3"/>
        </w:numPr>
        <w:tabs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критического и творческого мышления;</w:t>
      </w:r>
    </w:p>
    <w:p w:rsidR="008C715E" w:rsidRPr="002F70A7" w:rsidRDefault="008C715E" w:rsidP="002F70A7">
      <w:pPr>
        <w:numPr>
          <w:ilvl w:val="0"/>
          <w:numId w:val="3"/>
        </w:numPr>
        <w:tabs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умения самостоятельно конструировать свои знания;</w:t>
      </w:r>
    </w:p>
    <w:p w:rsidR="008C715E" w:rsidRPr="002F70A7" w:rsidRDefault="008C715E" w:rsidP="002F70A7">
      <w:pPr>
        <w:numPr>
          <w:ilvl w:val="0"/>
          <w:numId w:val="3"/>
        </w:numPr>
        <w:tabs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умения ориентироваться в информационном пространстве;</w:t>
      </w:r>
    </w:p>
    <w:p w:rsidR="008C715E" w:rsidRPr="002F70A7" w:rsidRDefault="008C715E" w:rsidP="002F70A7">
      <w:pPr>
        <w:numPr>
          <w:ilvl w:val="0"/>
          <w:numId w:val="3"/>
        </w:numPr>
        <w:tabs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умения увидеть, сформулировать и решить проблему;</w:t>
      </w:r>
    </w:p>
    <w:p w:rsidR="008C715E" w:rsidRPr="002F70A7" w:rsidRDefault="008C715E" w:rsidP="002F70A7">
      <w:pPr>
        <w:numPr>
          <w:ilvl w:val="0"/>
          <w:numId w:val="3"/>
        </w:numPr>
        <w:tabs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умения использовать современные ИКТ.</w:t>
      </w:r>
    </w:p>
    <w:p w:rsidR="008C715E" w:rsidRPr="002F70A7" w:rsidRDefault="008C715E" w:rsidP="002F70A7">
      <w:pPr>
        <w:tabs>
          <w:tab w:val="left" w:pos="2595"/>
        </w:tabs>
        <w:spacing w:line="240" w:lineRule="auto"/>
        <w:ind w:firstLine="567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Исследовательская деятельность учащихся – высший уровень мыслительной деятельности, предполагающий отталкивание от проблем конкретного учебного задания, овладение основными способами культуры умственного труда, развитие человеческих знаний и получение конкретных результатов.</w:t>
      </w:r>
    </w:p>
    <w:p w:rsidR="008C715E" w:rsidRPr="002F70A7" w:rsidRDefault="008C715E" w:rsidP="002F70A7">
      <w:pPr>
        <w:pageBreakBefore/>
        <w:tabs>
          <w:tab w:val="left" w:pos="2595"/>
        </w:tabs>
        <w:spacing w:line="240" w:lineRule="auto"/>
        <w:rPr>
          <w:b/>
          <w:bCs/>
          <w:sz w:val="20"/>
          <w:szCs w:val="20"/>
        </w:rPr>
      </w:pPr>
      <w:r w:rsidRPr="002F70A7">
        <w:rPr>
          <w:b/>
          <w:bCs/>
          <w:sz w:val="20"/>
          <w:szCs w:val="20"/>
        </w:rPr>
        <w:lastRenderedPageBreak/>
        <w:t>Представление системы работы</w:t>
      </w:r>
    </w:p>
    <w:p w:rsidR="008C715E" w:rsidRPr="002F70A7" w:rsidRDefault="008C715E" w:rsidP="002F70A7">
      <w:pPr>
        <w:tabs>
          <w:tab w:val="left" w:pos="2595"/>
        </w:tabs>
        <w:spacing w:line="240" w:lineRule="auto"/>
        <w:ind w:firstLine="567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Поскольку исследовательская работа строится на краеведческом материале, особое внимание уделяю урокам, посвященным истории края.</w:t>
      </w:r>
    </w:p>
    <w:p w:rsidR="008C715E" w:rsidRPr="002F70A7" w:rsidRDefault="008C715E" w:rsidP="002F70A7">
      <w:pPr>
        <w:tabs>
          <w:tab w:val="left" w:pos="2595"/>
        </w:tabs>
        <w:spacing w:line="240" w:lineRule="auto"/>
        <w:ind w:firstLine="567"/>
        <w:rPr>
          <w:sz w:val="20"/>
          <w:szCs w:val="20"/>
        </w:rPr>
      </w:pPr>
      <w:r w:rsidRPr="002F70A7">
        <w:rPr>
          <w:sz w:val="20"/>
          <w:szCs w:val="20"/>
        </w:rPr>
        <w:t>Хронологическая периодизация материала по столетиям логична, естественна и способствует ориентации учащихся в историческом пространстве и времени.</w:t>
      </w:r>
    </w:p>
    <w:p w:rsidR="008C715E" w:rsidRPr="002F70A7" w:rsidRDefault="008C715E" w:rsidP="002F70A7">
      <w:pPr>
        <w:tabs>
          <w:tab w:val="left" w:pos="2595"/>
        </w:tabs>
        <w:spacing w:line="240" w:lineRule="auto"/>
        <w:ind w:firstLine="567"/>
        <w:rPr>
          <w:sz w:val="20"/>
          <w:szCs w:val="20"/>
        </w:rPr>
      </w:pPr>
      <w:r w:rsidRPr="002F70A7">
        <w:rPr>
          <w:sz w:val="20"/>
          <w:szCs w:val="20"/>
        </w:rPr>
        <w:t>Наряду с содержанием краеведческого материала мной определена и система работы по овладению учащимися разнообразными исследовательскими методиками, навыками. Стараюсь научить ребят творческому сотрудничеству с людьми, которые могут дать интересную историческую информацию, готовить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мини-доклады и сообщения по краеведческим темам, оформлять и систематизировать музейные экспонаты, воспоминания очевидцев, исторические события; изучать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и анализировать документы, архивные материалы, полученные в З-Полянском краеведческом музее.</w:t>
      </w:r>
    </w:p>
    <w:p w:rsidR="008C715E" w:rsidRPr="002F70A7" w:rsidRDefault="008C715E" w:rsidP="002F70A7">
      <w:pPr>
        <w:tabs>
          <w:tab w:val="left" w:pos="2595"/>
        </w:tabs>
        <w:spacing w:line="240" w:lineRule="auto"/>
        <w:ind w:firstLine="567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 xml:space="preserve">Занимаясь исследовательской деятельностью, ученик опирается на следующие </w:t>
      </w:r>
      <w:r w:rsidRPr="002F70A7">
        <w:rPr>
          <w:b/>
          <w:bCs/>
          <w:sz w:val="20"/>
          <w:szCs w:val="20"/>
        </w:rPr>
        <w:t>основные термины</w:t>
      </w:r>
      <w:r w:rsidRPr="002F70A7">
        <w:rPr>
          <w:bCs/>
          <w:sz w:val="20"/>
          <w:szCs w:val="20"/>
        </w:rPr>
        <w:t>: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Объект исследования – процесс или явление, порождающее проблему, область исследования (общее, целое).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Предмет исследования – конкретный вопрос в общей области. Именно предмет определяет тему исследования</w:t>
      </w:r>
      <w:r w:rsidR="002F70A7">
        <w:rPr>
          <w:bCs/>
          <w:sz w:val="20"/>
          <w:szCs w:val="20"/>
        </w:rPr>
        <w:t xml:space="preserve"> </w:t>
      </w:r>
      <w:r w:rsidRPr="002F70A7">
        <w:rPr>
          <w:bCs/>
          <w:sz w:val="20"/>
          <w:szCs w:val="20"/>
        </w:rPr>
        <w:t>и должен совпадать с ней.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Гипотеза – предположение, которое опровергается или подтверждается исследованием.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Цель – главное, чего вы хотите</w:t>
      </w:r>
      <w:r w:rsidR="002F70A7">
        <w:rPr>
          <w:bCs/>
          <w:sz w:val="20"/>
          <w:szCs w:val="20"/>
        </w:rPr>
        <w:t xml:space="preserve"> </w:t>
      </w:r>
      <w:r w:rsidRPr="002F70A7">
        <w:rPr>
          <w:bCs/>
          <w:sz w:val="20"/>
          <w:szCs w:val="20"/>
        </w:rPr>
        <w:t>достичь, желаемый результат.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Задачи – конкретные исследовательские действия, которые должны быть выполнены, чтобы прийти к цели (то, что мы хотели получить), к результату (что получили).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Методика исследования – способы и приемы получения результатов.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Научная новизна – ценность новых полученных знаний для науки.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Библиографический обзор – обзор основных источников информации по теме.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Ссылки и сноски – указания на источники информации.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Выводы – краткое изложение результатов.</w:t>
      </w:r>
    </w:p>
    <w:p w:rsidR="008C715E" w:rsidRPr="002F70A7" w:rsidRDefault="008C715E" w:rsidP="002F70A7">
      <w:pPr>
        <w:numPr>
          <w:ilvl w:val="0"/>
          <w:numId w:val="2"/>
        </w:numPr>
        <w:tabs>
          <w:tab w:val="left" w:pos="0"/>
          <w:tab w:val="left" w:pos="2595"/>
        </w:tabs>
        <w:spacing w:line="240" w:lineRule="auto"/>
        <w:ind w:left="0"/>
        <w:rPr>
          <w:bCs/>
          <w:sz w:val="20"/>
          <w:szCs w:val="20"/>
        </w:rPr>
      </w:pPr>
      <w:r w:rsidRPr="002F70A7">
        <w:rPr>
          <w:bCs/>
          <w:sz w:val="20"/>
          <w:szCs w:val="20"/>
        </w:rPr>
        <w:t>Практическая значимость – возможности использования в жизни.</w:t>
      </w:r>
    </w:p>
    <w:p w:rsidR="008C715E" w:rsidRPr="002F70A7" w:rsidRDefault="008C715E" w:rsidP="002F70A7">
      <w:pPr>
        <w:tabs>
          <w:tab w:val="left" w:pos="0"/>
          <w:tab w:val="left" w:pos="2595"/>
        </w:tabs>
        <w:spacing w:line="240" w:lineRule="auto"/>
        <w:rPr>
          <w:b/>
          <w:bCs/>
          <w:sz w:val="20"/>
          <w:szCs w:val="20"/>
        </w:rPr>
      </w:pPr>
      <w:r w:rsidRPr="002F70A7">
        <w:rPr>
          <w:bCs/>
          <w:sz w:val="20"/>
          <w:szCs w:val="20"/>
        </w:rPr>
        <w:t xml:space="preserve">Свои исследовательские работы обучающиеся представляют </w:t>
      </w:r>
      <w:r w:rsidRPr="002F70A7">
        <w:rPr>
          <w:sz w:val="20"/>
          <w:szCs w:val="20"/>
        </w:rPr>
        <w:t>в виде</w:t>
      </w:r>
    </w:p>
    <w:p w:rsidR="008C715E" w:rsidRPr="002F70A7" w:rsidRDefault="008C715E" w:rsidP="002F70A7">
      <w:pPr>
        <w:numPr>
          <w:ilvl w:val="0"/>
          <w:numId w:val="1"/>
        </w:numPr>
        <w:tabs>
          <w:tab w:val="left" w:pos="0"/>
          <w:tab w:val="left" w:pos="2595"/>
        </w:tabs>
        <w:spacing w:line="240" w:lineRule="auto"/>
        <w:ind w:left="0"/>
        <w:rPr>
          <w:sz w:val="20"/>
          <w:szCs w:val="20"/>
        </w:rPr>
      </w:pPr>
      <w:r w:rsidRPr="002F70A7">
        <w:rPr>
          <w:bCs/>
          <w:sz w:val="20"/>
          <w:szCs w:val="20"/>
        </w:rPr>
        <w:t xml:space="preserve">Сообщения </w:t>
      </w:r>
      <w:r w:rsidRPr="002F70A7">
        <w:rPr>
          <w:sz w:val="20"/>
          <w:szCs w:val="20"/>
        </w:rPr>
        <w:t>— выступления информативного, иллюстрирующего или аналитического характера, как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правило, по одной проблеме.</w:t>
      </w:r>
    </w:p>
    <w:p w:rsidR="008C715E" w:rsidRPr="002F70A7" w:rsidRDefault="008C715E" w:rsidP="002F70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20"/>
          <w:szCs w:val="20"/>
        </w:rPr>
      </w:pPr>
      <w:r w:rsidRPr="002F70A7">
        <w:rPr>
          <w:bCs/>
          <w:sz w:val="20"/>
          <w:szCs w:val="20"/>
        </w:rPr>
        <w:t>Доклада</w:t>
      </w:r>
      <w:r w:rsidRPr="002F70A7">
        <w:rPr>
          <w:b/>
          <w:bCs/>
          <w:sz w:val="20"/>
          <w:szCs w:val="20"/>
        </w:rPr>
        <w:t xml:space="preserve"> </w:t>
      </w:r>
      <w:proofErr w:type="gramStart"/>
      <w:r w:rsidRPr="002F70A7">
        <w:rPr>
          <w:sz w:val="20"/>
          <w:szCs w:val="20"/>
        </w:rPr>
        <w:t>—р</w:t>
      </w:r>
      <w:proofErr w:type="gramEnd"/>
      <w:r w:rsidRPr="002F70A7">
        <w:rPr>
          <w:sz w:val="20"/>
          <w:szCs w:val="20"/>
        </w:rPr>
        <w:t>азвернутого, аргументированного, под</w:t>
      </w:r>
      <w:r w:rsidRPr="002F70A7">
        <w:rPr>
          <w:sz w:val="20"/>
          <w:szCs w:val="20"/>
        </w:rPr>
        <w:softHyphen/>
        <w:t>робного рассмотрения какой-либо проблемы. Доклад</w:t>
      </w:r>
      <w:r w:rsidRPr="002F70A7">
        <w:rPr>
          <w:sz w:val="20"/>
          <w:szCs w:val="20"/>
        </w:rPr>
        <w:softHyphen/>
        <w:t>чик не просто излагает информацию, а проводит ее доказательный анализ, дает собственную оценку, под</w:t>
      </w:r>
      <w:r w:rsidRPr="002F70A7">
        <w:rPr>
          <w:sz w:val="20"/>
          <w:szCs w:val="20"/>
        </w:rPr>
        <w:softHyphen/>
        <w:t>тверждает или опровергает мнения других авторов или источников.</w:t>
      </w:r>
    </w:p>
    <w:p w:rsidR="008C715E" w:rsidRPr="002F70A7" w:rsidRDefault="008C715E" w:rsidP="002F70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20"/>
          <w:szCs w:val="20"/>
        </w:rPr>
      </w:pPr>
      <w:r w:rsidRPr="002F70A7">
        <w:rPr>
          <w:bCs/>
          <w:iCs/>
          <w:sz w:val="20"/>
          <w:szCs w:val="20"/>
        </w:rPr>
        <w:t>Стендового доклада</w:t>
      </w:r>
      <w:r w:rsidRPr="002F70A7">
        <w:rPr>
          <w:b/>
          <w:sz w:val="20"/>
          <w:szCs w:val="20"/>
        </w:rPr>
        <w:t>.</w:t>
      </w:r>
      <w:r w:rsidRPr="002F70A7">
        <w:rPr>
          <w:sz w:val="20"/>
          <w:szCs w:val="20"/>
        </w:rPr>
        <w:t xml:space="preserve"> Данная форма доклада принята в современной между</w:t>
      </w:r>
      <w:r w:rsidRPr="002F70A7">
        <w:rPr>
          <w:sz w:val="20"/>
          <w:szCs w:val="20"/>
        </w:rPr>
        <w:softHyphen/>
        <w:t>народной практике как наиболее удачная, обеспечива</w:t>
      </w:r>
      <w:r w:rsidRPr="002F70A7">
        <w:rPr>
          <w:sz w:val="20"/>
          <w:szCs w:val="20"/>
        </w:rPr>
        <w:softHyphen/>
        <w:t>ющая легкость и концентрированность восприятия со</w:t>
      </w:r>
      <w:r w:rsidRPr="002F70A7">
        <w:rPr>
          <w:sz w:val="20"/>
          <w:szCs w:val="20"/>
        </w:rPr>
        <w:softHyphen/>
        <w:t xml:space="preserve">держания на конференциях и других мероприятиях. Стандартный стенд рассчитан на 2 </w:t>
      </w:r>
      <w:proofErr w:type="gramStart"/>
      <w:r w:rsidRPr="002F70A7">
        <w:rPr>
          <w:sz w:val="20"/>
          <w:szCs w:val="20"/>
        </w:rPr>
        <w:t>ватманских</w:t>
      </w:r>
      <w:proofErr w:type="gramEnd"/>
      <w:r w:rsidRPr="002F70A7">
        <w:rPr>
          <w:sz w:val="20"/>
          <w:szCs w:val="20"/>
        </w:rPr>
        <w:t xml:space="preserve"> листа. Соотношение текстового и иллюстративного материала составляет 50% на 50%</w:t>
      </w:r>
    </w:p>
    <w:p w:rsidR="008C715E" w:rsidRPr="002F70A7" w:rsidRDefault="008C715E" w:rsidP="002F70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20"/>
          <w:szCs w:val="20"/>
        </w:rPr>
      </w:pPr>
      <w:r w:rsidRPr="002F70A7">
        <w:rPr>
          <w:iCs/>
          <w:sz w:val="20"/>
          <w:szCs w:val="20"/>
        </w:rPr>
        <w:t xml:space="preserve">Литературного обзора </w:t>
      </w:r>
      <w:r w:rsidRPr="002F70A7">
        <w:rPr>
          <w:sz w:val="20"/>
          <w:szCs w:val="20"/>
        </w:rPr>
        <w:t>— краткой характеристики того, что известно об исследуемом явлении из раз</w:t>
      </w:r>
      <w:r w:rsidRPr="002F70A7">
        <w:rPr>
          <w:sz w:val="20"/>
          <w:szCs w:val="20"/>
        </w:rPr>
        <w:softHyphen/>
        <w:t>личных источников. В нем указываются направления исследований, которые ведут различные ученые.</w:t>
      </w:r>
    </w:p>
    <w:p w:rsidR="008C715E" w:rsidRPr="002F70A7" w:rsidRDefault="008C715E" w:rsidP="002F70A7">
      <w:pPr>
        <w:numPr>
          <w:ilvl w:val="0"/>
          <w:numId w:val="1"/>
        </w:numPr>
        <w:spacing w:line="240" w:lineRule="auto"/>
        <w:ind w:left="0"/>
        <w:rPr>
          <w:sz w:val="20"/>
          <w:szCs w:val="20"/>
        </w:rPr>
      </w:pPr>
      <w:r w:rsidRPr="002F70A7">
        <w:rPr>
          <w:iCs/>
          <w:sz w:val="20"/>
          <w:szCs w:val="20"/>
        </w:rPr>
        <w:t>Рецензии</w:t>
      </w:r>
      <w:r w:rsidRPr="002F70A7">
        <w:rPr>
          <w:b/>
          <w:iCs/>
          <w:sz w:val="20"/>
          <w:szCs w:val="20"/>
        </w:rPr>
        <w:t xml:space="preserve"> </w:t>
      </w:r>
      <w:r w:rsidRPr="002F70A7">
        <w:rPr>
          <w:sz w:val="20"/>
          <w:szCs w:val="20"/>
        </w:rPr>
        <w:t xml:space="preserve">(от лат. </w:t>
      </w:r>
      <w:proofErr w:type="spellStart"/>
      <w:r w:rsidRPr="002F70A7">
        <w:rPr>
          <w:sz w:val="20"/>
          <w:szCs w:val="20"/>
          <w:lang w:val="en-US"/>
        </w:rPr>
        <w:t>recensio</w:t>
      </w:r>
      <w:proofErr w:type="spellEnd"/>
      <w:r w:rsidRPr="002F70A7">
        <w:rPr>
          <w:sz w:val="20"/>
          <w:szCs w:val="20"/>
        </w:rPr>
        <w:t xml:space="preserve"> — рассмотрение), представ</w:t>
      </w:r>
      <w:r w:rsidRPr="002F70A7">
        <w:rPr>
          <w:sz w:val="20"/>
          <w:szCs w:val="20"/>
        </w:rPr>
        <w:softHyphen/>
        <w:t>ляющей собой критический разбор и оценку нового худо</w:t>
      </w:r>
      <w:r w:rsidRPr="002F70A7">
        <w:rPr>
          <w:sz w:val="20"/>
          <w:szCs w:val="20"/>
        </w:rPr>
        <w:softHyphen/>
        <w:t>жественного произведения (книги, спектакля, концер</w:t>
      </w:r>
      <w:r w:rsidRPr="002F70A7">
        <w:rPr>
          <w:sz w:val="20"/>
          <w:szCs w:val="20"/>
        </w:rPr>
        <w:softHyphen/>
        <w:t>та, кинофильма) или научной работы. Также в качестве рецензии может рассматриваться отзыв на научную работу или художественное произведение перед их пуб</w:t>
      </w:r>
      <w:r w:rsidRPr="002F70A7">
        <w:rPr>
          <w:sz w:val="20"/>
          <w:szCs w:val="20"/>
        </w:rPr>
        <w:softHyphen/>
        <w:t>ликацией, защитой и т.д. Рецензия может быть опуб</w:t>
      </w:r>
      <w:r w:rsidRPr="002F70A7">
        <w:rPr>
          <w:sz w:val="20"/>
          <w:szCs w:val="20"/>
        </w:rPr>
        <w:softHyphen/>
        <w:t>ликована в виде статьи в газете или в журнале.</w:t>
      </w:r>
    </w:p>
    <w:p w:rsidR="008C715E" w:rsidRPr="002F70A7" w:rsidRDefault="008C715E" w:rsidP="002F70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20"/>
          <w:szCs w:val="20"/>
        </w:rPr>
      </w:pPr>
      <w:r w:rsidRPr="002F70A7">
        <w:rPr>
          <w:sz w:val="20"/>
          <w:szCs w:val="20"/>
        </w:rPr>
        <w:t>Научной статьи, которая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является своеобразным литературным жанром. В научной статье должна быть обозна</w:t>
      </w:r>
      <w:r w:rsidRPr="002F70A7">
        <w:rPr>
          <w:sz w:val="20"/>
          <w:szCs w:val="20"/>
        </w:rPr>
        <w:softHyphen/>
        <w:t>чена проблема, отмечены известные попытки ее ре</w:t>
      </w:r>
      <w:r w:rsidRPr="002F70A7">
        <w:rPr>
          <w:sz w:val="20"/>
          <w:szCs w:val="20"/>
        </w:rPr>
        <w:softHyphen/>
        <w:t>шения.</w:t>
      </w:r>
    </w:p>
    <w:p w:rsidR="008C715E" w:rsidRPr="002F70A7" w:rsidRDefault="008C715E" w:rsidP="002F70A7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20"/>
          <w:szCs w:val="20"/>
        </w:rPr>
      </w:pPr>
      <w:r w:rsidRPr="002F70A7">
        <w:rPr>
          <w:sz w:val="20"/>
          <w:szCs w:val="20"/>
        </w:rPr>
        <w:t>Научного отчета – документа, содержащего подробное опи</w:t>
      </w:r>
      <w:r w:rsidRPr="002F70A7">
        <w:rPr>
          <w:sz w:val="20"/>
          <w:szCs w:val="20"/>
        </w:rPr>
        <w:softHyphen/>
        <w:t>сание методики и хода исследования, его результатов, а также выводов, полученных в процессе научно-иссле</w:t>
      </w:r>
      <w:r w:rsidRPr="002F70A7">
        <w:rPr>
          <w:sz w:val="20"/>
          <w:szCs w:val="20"/>
        </w:rPr>
        <w:softHyphen/>
        <w:t>довательской или опытно-экспериментальной работы. Назначение научного отчета — исчерпывающе осветить выполненную работу по ее завершении или за опреде</w:t>
      </w:r>
      <w:r w:rsidRPr="002F70A7">
        <w:rPr>
          <w:sz w:val="20"/>
          <w:szCs w:val="20"/>
        </w:rPr>
        <w:softHyphen/>
        <w:t>ленный промежуток времени.</w:t>
      </w:r>
    </w:p>
    <w:p w:rsidR="008C715E" w:rsidRPr="002F70A7" w:rsidRDefault="008C715E" w:rsidP="002F70A7">
      <w:pPr>
        <w:tabs>
          <w:tab w:val="left" w:pos="2595"/>
        </w:tabs>
        <w:spacing w:line="240" w:lineRule="auto"/>
        <w:ind w:firstLine="567"/>
        <w:rPr>
          <w:b/>
          <w:sz w:val="20"/>
          <w:szCs w:val="20"/>
        </w:rPr>
      </w:pPr>
      <w:r w:rsidRPr="002F70A7">
        <w:rPr>
          <w:b/>
          <w:sz w:val="20"/>
          <w:szCs w:val="20"/>
        </w:rPr>
        <w:t>Моделирование учебного занятия</w:t>
      </w:r>
    </w:p>
    <w:p w:rsidR="008C715E" w:rsidRPr="002F70A7" w:rsidRDefault="008C715E" w:rsidP="002F70A7">
      <w:pPr>
        <w:spacing w:line="240" w:lineRule="auto"/>
        <w:ind w:firstLine="851"/>
        <w:rPr>
          <w:sz w:val="20"/>
          <w:szCs w:val="20"/>
          <w:lang w:val="kk-KZ"/>
        </w:rPr>
      </w:pPr>
      <w:r w:rsidRPr="002F70A7">
        <w:rPr>
          <w:sz w:val="20"/>
          <w:szCs w:val="20"/>
        </w:rPr>
        <w:t>Учителя-ученики выполняют самостоятельную работу по конструированию собственной модели учебного занятия</w:t>
      </w:r>
      <w:r w:rsidR="002F70A7">
        <w:rPr>
          <w:sz w:val="20"/>
          <w:szCs w:val="20"/>
        </w:rPr>
        <w:t xml:space="preserve"> </w:t>
      </w:r>
      <w:r w:rsidRPr="002F70A7">
        <w:rPr>
          <w:sz w:val="20"/>
          <w:szCs w:val="20"/>
        </w:rPr>
        <w:t>в режиме технологии учителя.</w:t>
      </w:r>
    </w:p>
    <w:p w:rsidR="008C715E" w:rsidRPr="002F70A7" w:rsidRDefault="008C715E" w:rsidP="002F70A7">
      <w:pPr>
        <w:tabs>
          <w:tab w:val="left" w:pos="2595"/>
        </w:tabs>
        <w:spacing w:line="240" w:lineRule="auto"/>
        <w:ind w:firstLine="567"/>
        <w:rPr>
          <w:b/>
          <w:sz w:val="20"/>
          <w:szCs w:val="20"/>
        </w:rPr>
      </w:pPr>
      <w:r w:rsidRPr="002F70A7">
        <w:rPr>
          <w:b/>
          <w:sz w:val="20"/>
          <w:szCs w:val="20"/>
        </w:rPr>
        <w:t>Рефлексия</w:t>
      </w:r>
    </w:p>
    <w:p w:rsidR="003751B5" w:rsidRPr="002F70A7" w:rsidRDefault="008C715E" w:rsidP="002F70A7">
      <w:pPr>
        <w:tabs>
          <w:tab w:val="left" w:pos="2595"/>
        </w:tabs>
        <w:spacing w:line="240" w:lineRule="auto"/>
        <w:ind w:firstLine="567"/>
        <w:rPr>
          <w:kern w:val="0"/>
          <w:sz w:val="20"/>
          <w:szCs w:val="20"/>
          <w:lang w:val="kk-KZ" w:eastAsia="ru-RU"/>
        </w:rPr>
      </w:pPr>
      <w:r w:rsidRPr="002F70A7">
        <w:rPr>
          <w:bCs/>
          <w:sz w:val="20"/>
          <w:szCs w:val="20"/>
        </w:rPr>
        <w:t>На данном этапе проведения мастер – класса необходимо убедиться в эффективности проделанной работы. Для этого проводится дискуссия.</w:t>
      </w:r>
    </w:p>
    <w:sectPr w:rsidR="003751B5" w:rsidRPr="002F70A7" w:rsidSect="008C715E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5E"/>
    <w:rsid w:val="00154D78"/>
    <w:rsid w:val="002F70A7"/>
    <w:rsid w:val="003751B5"/>
    <w:rsid w:val="008C715E"/>
    <w:rsid w:val="00B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5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0A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0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F7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0A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5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0A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0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F7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0A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2025-04-22T17:07:00Z</dcterms:created>
  <dcterms:modified xsi:type="dcterms:W3CDTF">2025-04-29T05:31:00Z</dcterms:modified>
</cp:coreProperties>
</file>